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</w:r>
    </w:p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159-МА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11 ноября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 муниципальную программу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округа», утвержденной Постановлением  от 03.12.2018г. №169-МА и утверждении ее в новой редакции</w:t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В соответствии с Постановлением местной администрации Качинского муниципального округа от 11.11.2019г. №154-МА, с целью приведения в соответствие с требованиями бюджетного законодательства Российской Федерации, в соответствии со  статьей 179 Бюджетного кодекса Российской Федерации, Федеральным 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п. 4, 6 Закона города Севастополя  от 30.12.2014 № 102-ЗС «О местном самоуправлении в городе Севастополе», Решением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  <w:b w:val="false"/>
          <w:sz w:val="24"/>
          <w:szCs w:val="24"/>
        </w:rPr>
        <w:t xml:space="preserve">утвержденного </w:t>
      </w:r>
      <w:r>
        <w:rPr>
          <w:rFonts w:ascii="Book Antiqua" w:hAnsi="Book Antiqua"/>
          <w:b w:val="false"/>
          <w:sz w:val="24"/>
          <w:szCs w:val="24"/>
        </w:rPr>
        <w:t>решением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 w:val="false"/>
          <w:sz w:val="24"/>
          <w:szCs w:val="24"/>
        </w:rPr>
        <w:t>Совета Качинского муниципального округа от 19.03.2015 № 13,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/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/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/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>1. Внести изменения в муниципальную программу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округа» и утвердить ее в новой редакции (</w:t>
      </w:r>
      <w:r>
        <w:rPr>
          <w:rFonts w:cs="Arial" w:ascii="Book Antiqua" w:hAnsi="Book Antiqua"/>
          <w:caps/>
          <w:sz w:val="24"/>
          <w:szCs w:val="24"/>
        </w:rPr>
        <w:t>Приложение</w:t>
      </w:r>
      <w:r>
        <w:rPr>
          <w:rFonts w:cs="Arial" w:ascii="Book Antiqua" w:hAnsi="Book Antiqua"/>
          <w:sz w:val="24"/>
          <w:szCs w:val="24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3. Настоящее постановление вступает в силу  с 01 января 2020 года.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40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3"/>
        <w:gridCol w:w="1560"/>
        <w:gridCol w:w="2347"/>
      </w:tblGrid>
      <w:tr>
        <w:trPr/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  <w:r>
        <w:br w:type="page"/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  <w:t>Приложение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 xml:space="preserve">к постановлению 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местной администрации Качинского муниципального округа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от 11.11.2019 г.  №159-МА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</w:rPr>
      </w:r>
      <w:bookmarkStart w:id="0" w:name="Par34"/>
      <w:bookmarkStart w:id="1" w:name="Par34"/>
      <w:bookmarkEnd w:id="1"/>
    </w:p>
    <w:p>
      <w:pPr>
        <w:pStyle w:val="Normal"/>
        <w:jc w:val="center"/>
        <w:rPr>
          <w:rFonts w:ascii="Book Antiqua" w:hAnsi="Book Antiqua"/>
          <w:b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</w:r>
    </w:p>
    <w:p>
      <w:pPr>
        <w:pStyle w:val="Normal"/>
        <w:jc w:val="center"/>
        <w:rPr>
          <w:rFonts w:ascii="Book Antiqua" w:hAnsi="Book Antiqua"/>
          <w:b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</w:r>
    </w:p>
    <w:p>
      <w:pPr>
        <w:pStyle w:val="Normal"/>
        <w:jc w:val="center"/>
        <w:rPr>
          <w:rFonts w:ascii="Book Antiqua" w:hAnsi="Book Antiqua"/>
          <w:b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>
      <w:pPr>
        <w:pStyle w:val="Normal"/>
        <w:jc w:val="center"/>
        <w:rPr>
          <w:rFonts w:ascii="Book Antiqua" w:hAnsi="Book Antiqua"/>
          <w:b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</w:rPr>
      </w:r>
    </w:p>
    <w:p>
      <w:pPr>
        <w:pStyle w:val="Normal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«Обеспечение антитеррористической и общественной безопасности на территории внутригородского муниципального образования города Севастополя  </w:t>
      </w:r>
    </w:p>
    <w:p>
      <w:pPr>
        <w:pStyle w:val="Normal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Качинский муниципальный округ»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  <w:t>п. Кача</w:t>
      </w:r>
    </w:p>
    <w:p>
      <w:pPr>
        <w:pStyle w:val="Normal"/>
        <w:jc w:val="center"/>
        <w:rPr/>
      </w:pPr>
      <w:r>
        <w:rPr>
          <w:rFonts w:ascii="Book Antiqua" w:hAnsi="Book Antiqua"/>
        </w:rPr>
        <w:t>2019</w:t>
      </w:r>
    </w:p>
    <w:p>
      <w:pPr>
        <w:pStyle w:val="Normal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  <w:r>
        <w:br w:type="page"/>
      </w:r>
    </w:p>
    <w:p>
      <w:pPr>
        <w:pStyle w:val="Normal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</w:r>
    </w:p>
    <w:p>
      <w:pPr>
        <w:pStyle w:val="Normal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ПАСПОРТ</w:t>
      </w:r>
    </w:p>
    <w:p>
      <w:pPr>
        <w:pStyle w:val="Normal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муниципальной программы «Обеспечение антитеррористической и общественной безопасности на территории внутригородского муниципального образования города Севастополя  </w:t>
      </w:r>
    </w:p>
    <w:p>
      <w:pPr>
        <w:pStyle w:val="Normal"/>
        <w:jc w:val="center"/>
        <w:rPr>
          <w:rFonts w:ascii="Book Antiqua" w:hAnsi="Book Antiqua"/>
          <w:b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Качинский муниципальный округ»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tbl>
      <w:tblPr>
        <w:tblW w:w="10065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96"/>
        <w:gridCol w:w="6668"/>
      </w:tblGrid>
      <w:tr>
        <w:trPr>
          <w:trHeight w:val="400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Участники муниципальной программы 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0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00"/>
              <w:ind w:left="0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Участие в профилактике терроризма и экстремизма, </w:t>
            </w:r>
          </w:p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округ;</w:t>
            </w:r>
          </w:p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разработка и осуществлением мер, направленных на укрепление межнационального и межконфессионального согласия, реализацию прав национальных меньшинств, профилактику межнациональных (межэтнических) конфликтов;</w:t>
            </w:r>
          </w:p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организация охраны общественного порядка на территории внутригородского муниципального образования города Севастополя Качинский муниципальный округ</w:t>
            </w:r>
          </w:p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участие в профилактике правонарушений.</w:t>
            </w:r>
          </w:p>
          <w:p>
            <w:pPr>
              <w:pStyle w:val="Normal"/>
              <w:widowControl w:val="false"/>
              <w:spacing w:before="0" w:after="20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-Деятельность по профилактике и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      </w:r>
          </w:p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-Деятельность по минимизации и ликвидации последствий проявлений терроризма и экстремизма;</w:t>
            </w:r>
          </w:p>
          <w:p>
            <w:pPr>
              <w:pStyle w:val="Normal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ВМО Качинский МО;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- организация охраны общественного порядка</w:t>
            </w:r>
          </w:p>
        </w:tc>
      </w:tr>
      <w:tr>
        <w:trPr>
          <w:trHeight w:val="400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</w:rPr>
              <w:t>Срок реализации 2020– 2022годы</w:t>
            </w:r>
          </w:p>
        </w:tc>
      </w:tr>
      <w:tr>
        <w:trPr>
          <w:trHeight w:val="1715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Финансирование осуществляется за счёт средств бюджета внутригородского муниципального образования города Севастополя Качинский муниципальный округ 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Book Antiqua" w:hAnsi="Book Antiqua"/>
              </w:rPr>
              <w:t>2020 год – 134,9 тыс.руб.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Book Antiqua" w:hAnsi="Book Antiqua"/>
              </w:rPr>
              <w:t xml:space="preserve">2021 год –  </w:t>
            </w:r>
            <w:r>
              <w:rPr>
                <w:rFonts w:ascii="Book Antiqua" w:hAnsi="Book Antiqua"/>
                <w:shd w:fill="FFFFFF" w:val="clear"/>
              </w:rPr>
              <w:t>0,0 тыс.руб.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Book Antiqua" w:hAnsi="Book Antiqua"/>
              </w:rPr>
              <w:t xml:space="preserve">2022 год –  </w:t>
            </w:r>
            <w:r>
              <w:rPr>
                <w:rFonts w:ascii="Book Antiqua" w:hAnsi="Book Antiqua"/>
                <w:shd w:fill="FFFFFF" w:val="clear"/>
              </w:rPr>
              <w:t>0,0 тыс.руб.</w:t>
            </w:r>
          </w:p>
        </w:tc>
      </w:tr>
      <w:tr>
        <w:trPr>
          <w:trHeight w:val="709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36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-Повышение готовности ВМО Качинский МО противодействию терроризму на территории муниципального округа; </w:t>
            </w:r>
          </w:p>
          <w:p>
            <w:pPr>
              <w:pStyle w:val="Normal"/>
              <w:shd w:val="clear" w:color="auto" w:fill="FFFFFF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      </w:r>
          </w:p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-Укрепление толерантности среди населения ВМО Качинский МО;</w:t>
            </w:r>
          </w:p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обеспечение безопасной жизнедеятельности населения;</w:t>
            </w:r>
          </w:p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уменьшение числа правонарушений на территории муниципального образования;</w:t>
            </w:r>
          </w:p>
          <w:p>
            <w:pPr>
              <w:pStyle w:val="Normal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повышение информированности населения, в том числе учащихся образовательных учреждений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увеличение количества профилактических мероприятий, в том числе с участием сотрудников правоохранительных органов. </w:t>
            </w:r>
          </w:p>
        </w:tc>
      </w:tr>
    </w:tbl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</w:rPr>
      </w:r>
      <w:r>
        <w:br w:type="page"/>
      </w:r>
    </w:p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  <w:sz w:val="24"/>
          <w:szCs w:val="24"/>
        </w:rPr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>
      <w:pPr>
        <w:pStyle w:val="Normal"/>
        <w:shd w:val="clear" w:color="auto" w:fill="FFFFFF"/>
        <w:ind w:left="720" w:hanging="0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Муниципальная целевая программа «Обеспечение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Качинский муниципальный округ»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>
      <w:pPr>
        <w:pStyle w:val="Normal"/>
        <w:tabs>
          <w:tab w:val="clear" w:pos="709"/>
          <w:tab w:val="left" w:pos="104" w:leader="none"/>
        </w:tabs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 Федеральный закон от 06.03.2006 № 35-ФЗ «О противодействии терроризму»;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 Федеральный закон от 25.07.2002 № 114-ФЗ «О противодействии экстремистской деятельности»;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cs="Arial" w:ascii="Book Antiqua" w:hAnsi="Book Antiqua"/>
          <w:sz w:val="24"/>
          <w:szCs w:val="24"/>
        </w:rPr>
        <w:t>Закон города Севастополя  от 30.12.2014 № 102-ЗС «О местном самоуправлении в городе Севастополе»;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cs="Arial" w:ascii="Book Antiqua" w:hAnsi="Book Antiqua"/>
          <w:sz w:val="24"/>
          <w:szCs w:val="24"/>
        </w:rPr>
        <w:t>Устав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sz w:val="24"/>
          <w:szCs w:val="24"/>
        </w:rPr>
        <w:t>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cs="Arial" w:ascii="Book Antiqua" w:hAnsi="Book Antiqua"/>
          <w:sz w:val="24"/>
          <w:szCs w:val="24"/>
        </w:rPr>
        <w:t>Решение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</w:t>
      </w:r>
      <w:r>
        <w:rPr>
          <w:rFonts w:ascii="Book Antiqua" w:hAnsi="Book Antiqua"/>
          <w:sz w:val="24"/>
          <w:szCs w:val="24"/>
        </w:rPr>
        <w:t>».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cs="Arial" w:ascii="Book Antiqua" w:hAnsi="Book Antiqua"/>
          <w:sz w:val="24"/>
          <w:szCs w:val="24"/>
        </w:rPr>
        <w:t>Решение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>
        <w:rPr>
          <w:rFonts w:ascii="Book Antiqua" w:hAnsi="Book Antiqua"/>
          <w:sz w:val="24"/>
          <w:szCs w:val="24"/>
        </w:rPr>
        <w:t>.</w:t>
      </w:r>
    </w:p>
    <w:p>
      <w:pPr>
        <w:pStyle w:val="Normal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Терроризм является сложным социально-политическим явлением, которое аккумулирует в себе имеющиеся социальные, экономические и политические противоречия. Согласно ст.3 Федерального закона «О противодействии терроризму», терроризм –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 Также терроризм включает в себя широкой спектр общественно опасных деяний, предусмотренных статьями Уголовного Кодекса РФ.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Действующее законодательство предписывает органам местного самоуправления в пределах своей компетенции в приоритетном порядке осуществлять профилактические меры, в том числе воспитательные и пропагандистские, направленные на предупреждение экстремистской и террористической деятельности.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По состоянию на 01 января 2015 года численность постоянного населения муниципального округа составила более 8,4 тыс. человек, из которых 8,68% крымские татары, 2,35% татары.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Социальная острота проблемы диктует необходимость активизации органов местного самоуправления, а именно разработки и внедрения программ профилактических мероприятий по профилактике терроризма и экстремизма, укрепление межнационального и межконфессионального согласия, профилактику межнациональных конфликтов.</w:t>
      </w:r>
    </w:p>
    <w:p>
      <w:pPr>
        <w:pStyle w:val="Normal"/>
        <w:widowControl w:val="false"/>
        <w:ind w:hanging="0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В соответствии с п.6 закона Севастополя «О местном самоуправлении в городе Севастополе» к вопросам местного значения органов местного самоуправления относится  - организация охраны общественного порядка на территории внутригородского муниципального образования. </w:t>
      </w:r>
    </w:p>
    <w:p>
      <w:pPr>
        <w:pStyle w:val="Normal"/>
        <w:widowControl w:val="false"/>
        <w:ind w:hanging="0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Учитывая сложность и многообразие факторов, влияющих на состояние и динамику преступности, кардинальное улучшение криминогенной ситуации на территории города Севастополя  необходима поддержка правоохранительной деятельности, проведение целевого комплекса мер, направленных на профилактику правонарушений.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 </w:t>
      </w:r>
      <w:r>
        <w:rPr>
          <w:rFonts w:ascii="Book Antiqua" w:hAnsi="Book Antiqua"/>
          <w:sz w:val="24"/>
          <w:szCs w:val="24"/>
        </w:rPr>
        <w:t xml:space="preserve">Основными целями и задачами Программы являются: 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 Участие ВМО Качинский МО в реализации государственной программы по профилактике терроризма и экстремизма, а также в минимизации и (или) ликвидации последствий проявления экстремизма и терроризма  на территории Качинского муниципального округа;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-Деятельность по предупреждению терроризма, в том числе по выявлению и последующему устранению причин и условий, способствующий совершению террористических актов (профилактика терроризма);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-Деятельность по минимизации и (или) ликвидации последствий проявлений терроризма; 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Качинского муниципального округа;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 Оказание содействия правоохранительным органам в охране общественного порядка;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  Повышение уровня защищенности прав и свобод граждан, а также поддержка участия граждан в охране общественного порядка и общественной безопасности;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 Повышение уровня информированности населения об административной и уголовной ответственности за совершение правонарушений;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-Широкое информирование жителей о целях, задачах и содержании Программы через СМИ и печатно-издательскую продукцию, в том числе путем размещения информации в местах массового пребывания людей, на информационных стендах, рекламных конструкциях, официальном сайте и т.п.;</w:t>
      </w:r>
    </w:p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-Привлечение внимания к целям, задачам и содержанию Программы работников правоохранительных органов, работников образовательных учреждений и учреждений культуры, общественных организаций и объединений.</w:t>
      </w:r>
    </w:p>
    <w:p>
      <w:pPr>
        <w:pStyle w:val="Normal"/>
        <w:shd w:val="clear" w:color="auto" w:fill="FFFFFF"/>
        <w:ind w:firstLine="540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Достижение целей и задач Программы обеспечивается выполнением следующих мероприятий:</w:t>
      </w:r>
    </w:p>
    <w:p>
      <w:pPr>
        <w:pStyle w:val="Normal"/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-Участием в деятельности межведомственной рабочей группы по борьбе с проявлениями экстремистской деятельности при прокуратуре Нахимовского района города Севастополя;</w:t>
      </w:r>
    </w:p>
    <w:p>
      <w:pPr>
        <w:pStyle w:val="Normal"/>
        <w:shd w:val="clear" w:color="auto" w:fill="FFFFFF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-Осуществлением взаимообмена информацией с прокуратурой Нахимовского района города Севастополя, Следственным комитетом Нахимовского района города Севастополя, Департаментом Нахимовского района города Севастополя, УВД, ОУФМС;</w:t>
      </w:r>
    </w:p>
    <w:p>
      <w:pPr>
        <w:pStyle w:val="Normal"/>
        <w:shd w:val="clear" w:color="auto" w:fill="FFFFFF"/>
        <w:ind w:left="90" w:firstLine="61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-Обходом территории муниципального образования на предмет выявления фактов осквернения зданий и иных сооружений, в том числе,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а также надписей, разжигающих межнациональную и религиозную рознь;</w:t>
      </w:r>
    </w:p>
    <w:p>
      <w:pPr>
        <w:pStyle w:val="Normal"/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-Обходом территории муниципального образования на предмет выявления мест концентрации молодежи;</w:t>
      </w:r>
    </w:p>
    <w:p>
      <w:pPr>
        <w:pStyle w:val="Normal"/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-Обходом территории муниципального образования на предмет выявления разукомплектованных автотранспортных средств, а также проверки антитеррористической укрепленности зданий;</w:t>
      </w:r>
    </w:p>
    <w:p>
      <w:pPr>
        <w:pStyle w:val="Normal"/>
        <w:shd w:val="clear" w:color="auto" w:fill="FFFFFF"/>
        <w:ind w:left="90" w:firstLine="61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-Изданием и распространением листовок и брошюр по профилактике терроризма и экстремизма, размещением на территории округа (информационных стендах, рекламных конструкциях) социальной рекламы (плакатов, постеров), направленной на гармонизацию межэтнических и межкультурных отношений, на профилактику терроризма и экстремизма, по вопросам организации общественного порядка и профилактике преступлений и правонарушений;</w:t>
      </w:r>
    </w:p>
    <w:p>
      <w:pPr>
        <w:pStyle w:val="Normal"/>
        <w:shd w:val="clear" w:color="auto" w:fill="FFFFFF"/>
        <w:ind w:left="90" w:firstLine="61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-Адресным распространением информации в местах компактного проживания, обучения, работы иностранных граждан, содержащей разъяснение требований действующего законодательства РФ о миграции и о безопасном пребывании на территории города;</w:t>
      </w:r>
    </w:p>
    <w:p>
      <w:pPr>
        <w:pStyle w:val="Normal"/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-Размещением на территории округа (информационных стендах) информации для иностранных граждан, содержащей разъяснение требований действующего миграционного законодательства, а также контактных телефонов о том, куда следует обращаться в случаях совершения в отношении них преступлений;</w:t>
      </w:r>
    </w:p>
    <w:p>
      <w:pPr>
        <w:pStyle w:val="Normal"/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 Организация тематических занятий с населением, проживающим на территории Качинского муниципального округа;</w:t>
      </w:r>
    </w:p>
    <w:p>
      <w:pPr>
        <w:pStyle w:val="Normal"/>
        <w:shd w:val="clear" w:color="auto" w:fill="FFFFFF"/>
        <w:ind w:left="90" w:firstLine="618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-Организацией тематических занятий и консультаций для неработающего населения округа.</w:t>
      </w:r>
    </w:p>
    <w:p>
      <w:pPr>
        <w:pStyle w:val="Normal"/>
        <w:shd w:val="clear" w:color="auto" w:fill="FFFFFF"/>
        <w:ind w:firstLine="709"/>
        <w:jc w:val="center"/>
        <w:rPr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3. Обоснование объема финансовых ресурсов, необходимых для реализации Программы.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ar-SA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 (МА Качинского МО).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Ответственным исполнителем Программы является общий отдел МА Качинского МО.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период утверждается одновременно с утверждением муниципального бюджета.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Перечень основных мероприятий Программы и ресурсное обеспечение Программы приведено в Приложении 2 к Программе.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Возможно перераспределение финансовых средств в рамках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4. Анализ рисков реализации Программы, меры управления рисками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В рамках реализации Программы могут быть выделены следующие риски ее реализации.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b/>
          <w:i/>
          <w:sz w:val="24"/>
          <w:szCs w:val="24"/>
          <w:lang w:eastAsia="ar-SA"/>
        </w:rPr>
        <w:t xml:space="preserve">Правовые риски </w:t>
      </w:r>
      <w:r>
        <w:rPr>
          <w:rFonts w:ascii="Book Antiqua" w:hAnsi="Book Antiqua"/>
          <w:sz w:val="24"/>
          <w:szCs w:val="24"/>
          <w:lang w:eastAsia="ar-SA"/>
        </w:rPr>
        <w:t>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b/>
          <w:bCs/>
          <w:i/>
          <w:sz w:val="24"/>
          <w:szCs w:val="24"/>
          <w:lang w:eastAsia="ar-SA"/>
        </w:rPr>
        <w:t>Финансовые риски</w:t>
      </w:r>
      <w:r>
        <w:rPr>
          <w:rFonts w:ascii="Book Antiqua" w:hAnsi="Book Antiqua"/>
          <w:bCs/>
          <w:sz w:val="24"/>
          <w:szCs w:val="24"/>
          <w:lang w:eastAsia="ar-SA"/>
        </w:rPr>
        <w:t xml:space="preserve"> связаны </w:t>
      </w:r>
      <w:r>
        <w:rPr>
          <w:rFonts w:ascii="Book Antiqua" w:hAnsi="Book Antiqua"/>
          <w:sz w:val="24"/>
          <w:szCs w:val="24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Способами ограничения финансовых рисков выступают: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определение приоритетов для первоочередного финансирования;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привлечение внебюджетного финансирования. 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b/>
          <w:bCs/>
          <w:i/>
          <w:sz w:val="24"/>
          <w:szCs w:val="24"/>
          <w:lang w:eastAsia="ar-SA"/>
        </w:rPr>
        <w:t>Макроэкономические риски</w:t>
      </w:r>
      <w:r>
        <w:rPr>
          <w:rFonts w:ascii="Book Antiqua" w:hAnsi="Book Antiqua"/>
          <w:sz w:val="24"/>
          <w:szCs w:val="24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b/>
          <w:i/>
          <w:sz w:val="24"/>
          <w:szCs w:val="24"/>
          <w:lang w:eastAsia="ar-SA"/>
        </w:rPr>
        <w:t>Административные риски.</w:t>
      </w:r>
      <w:r>
        <w:rPr>
          <w:rFonts w:ascii="Book Antiqua" w:hAnsi="Book Antiqua"/>
          <w:sz w:val="24"/>
          <w:szCs w:val="24"/>
          <w:lang w:eastAsia="ar-SA"/>
        </w:rPr>
        <w:t xml:space="preserve"> Риски данной группы связаны с неэффективным управлением реализацией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недостижение плановых значений показателей, снижение эффективности использования ресурсов и качества выполнения мероприятий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>рограммы.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Основными условиями минимизации административных рисков являются: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формирование эффективной системы управления реализацией Программы;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проведение систематического мониторинга результативности реализации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>рограммы;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повышение эффективности взаимодействия участников реализации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>рограммы;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своевременная корректировка мероприятий </w:t>
      </w:r>
      <w:r>
        <w:rPr>
          <w:rFonts w:ascii="Book Antiqua" w:hAnsi="Book Antiqua"/>
          <w:bCs/>
          <w:sz w:val="24"/>
          <w:szCs w:val="24"/>
          <w:lang w:eastAsia="ar-SA"/>
        </w:rPr>
        <w:t>П</w:t>
      </w:r>
      <w:r>
        <w:rPr>
          <w:rFonts w:ascii="Book Antiqua" w:hAnsi="Book Antiqua"/>
          <w:sz w:val="24"/>
          <w:szCs w:val="24"/>
          <w:lang w:eastAsia="ar-SA"/>
        </w:rPr>
        <w:t>рограммы.</w:t>
      </w:r>
    </w:p>
    <w:p>
      <w:pPr>
        <w:pStyle w:val="ListParagraph"/>
        <w:shd w:val="clear" w:color="auto" w:fill="FFFFFF"/>
        <w:spacing w:lineRule="atLeast" w:line="270" w:before="0" w:after="0"/>
        <w:ind w:left="0" w:hanging="0"/>
        <w:contextualSpacing/>
        <w:jc w:val="center"/>
        <w:rPr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eastAsia="ar-SA"/>
        </w:rPr>
        <w:t>5. Оценка планируемой эффективности Программы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ar-SA"/>
        </w:rPr>
        <w:t>В результате реализации Программы ожидается: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-Повышение готовности ВМО Качинский МО противодействию терроризму на территории муниципального образования; 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-Обобщение и развитие имеющегося конструктивного опыта по данной проблеме;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-Привлечение внимания широких слоев общественности к проблеме терроризма и экстремизма на территории ВМО Качинский МО;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>- Обеспечение безопасной жизнедеятельности населения;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</w:t>
      </w:r>
      <w:r>
        <w:rPr>
          <w:rFonts w:ascii="Book Antiqua" w:hAnsi="Book Antiqua"/>
          <w:sz w:val="24"/>
          <w:szCs w:val="24"/>
        </w:rPr>
        <w:t>- Уменьшение числа правонарушений на территории муниципального образования;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>- Повышение информированности населения, в том числе учащихся образовательных учреждений;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</w:rPr>
        <w:t>- увеличение количества профилактических мероприятий, в том числе с участием сотрудников правоохранительных органов.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 </w:t>
      </w:r>
    </w:p>
    <w:p>
      <w:pPr>
        <w:pStyle w:val="Normal"/>
        <w:shd w:val="clear" w:color="auto" w:fill="FFFFFF"/>
        <w:spacing w:lineRule="atLeast" w:line="270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В качестве критериев оценки эффективности Программы используются целевые показатели (индикаторы), приведенные в Приложении 1. Эффективность реализации Программы определяется степенью достижения плановых значений целевых показателей (индикаторов).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6. Механизм реализации Программы</w:t>
      </w:r>
    </w:p>
    <w:p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Координацию деятельности исполнителей Программы осуществляет заместитель Главы МА Качинского МО.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Исполнители Программы: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9"/>
          <w:tab w:val="left" w:pos="851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обеспечивают своевременную реализацию программных мероприятий;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9"/>
          <w:tab w:val="left" w:pos="851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привлекают к реализации Программы соисполнителей в установленном порядке.</w:t>
      </w:r>
    </w:p>
    <w:p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период.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7. Организация управления Программой и контроль за ходом ее реализации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  <w:sz w:val="24"/>
          <w:szCs w:val="24"/>
        </w:rPr>
        <w:t> </w:t>
      </w:r>
      <w:r>
        <w:rPr>
          <w:rFonts w:ascii="Book Antiqua" w:hAnsi="Book Antiqua"/>
          <w:sz w:val="24"/>
          <w:szCs w:val="24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>
      <w:pPr>
        <w:pStyle w:val="Normal"/>
        <w:shd w:val="clear" w:color="auto" w:fill="FFFFFF"/>
        <w:ind w:firstLine="709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Реализация Программы осуществляется на основе: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условий, порядка и правил, утвержденных федеральными и региональными нормативными правовыми актами; 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Управление Программой включает в себя: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оценку эффективности реализации разделов Программы;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МА Качинского МО.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Отчет о реализации Программы должен содержать: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сведения о результатах реализации Программы за отчетный период;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информацию о ходе и полноте выполнения программных мероприятий;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ascii="Book Antiqua" w:hAnsi="Book Antiqua"/>
          <w:sz w:val="24"/>
          <w:szCs w:val="24"/>
        </w:rPr>
        <w:t>оценку эффективности результатов реализации Программы в соответствии с </w:t>
      </w:r>
      <w:hyperlink r:id="rId3">
        <w:r>
          <w:rPr>
            <w:rStyle w:val="ListLabel28"/>
            <w:rFonts w:ascii="Book Antiqua" w:hAnsi="Book Antiqua"/>
            <w:sz w:val="24"/>
            <w:szCs w:val="24"/>
          </w:rPr>
          <w:t>методикой</w:t>
        </w:r>
      </w:hyperlink>
      <w:r>
        <w:rPr>
          <w:rFonts w:ascii="Book Antiqua" w:hAnsi="Book Antiqua"/>
          <w:sz w:val="24"/>
          <w:szCs w:val="24"/>
        </w:rPr>
        <w:t>, утвержденной нормативным актом МА Качинского МО.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 w:cs="Arial"/>
        </w:rPr>
      </w:pPr>
      <w:r>
        <w:rPr>
          <w:rFonts w:cs="Arial" w:ascii="Book Antiqua" w:hAnsi="Book Antiqua"/>
          <w:sz w:val="24"/>
          <w:szCs w:val="24"/>
        </w:rPr>
        <w:t>Отчеты о ходе реализации Программы по результатам за год и за отчетный период подлежат утверждению постановлением местной администрации Качинского муниципального округа  и выносятся на рассмотрение Совета Качинского МО.</w:t>
      </w:r>
    </w:p>
    <w:p>
      <w:pPr>
        <w:pStyle w:val="Normal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>Контроль за ходом реализации Программы осуществляет заместитель Главы МА Качинского МО.</w:t>
      </w:r>
    </w:p>
    <w:p>
      <w:pPr>
        <w:pStyle w:val="Normal"/>
        <w:shd w:val="clear" w:color="auto" w:fill="FFFFFF"/>
        <w:ind w:firstLine="709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40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3"/>
        <w:gridCol w:w="1789"/>
        <w:gridCol w:w="2118"/>
      </w:tblGrid>
      <w:tr>
        <w:trPr/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hd w:val="clear" w:color="auto" w:fill="FFFFFF"/>
        <w:ind w:left="5670" w:hanging="0"/>
        <w:rPr/>
      </w:pPr>
      <w:r>
        <w:rPr>
          <w:rFonts w:ascii="Book Antiqua" w:hAnsi="Book Antiqua"/>
        </w:rPr>
        <w:t>Приложение 1</w:t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cs="Arial" w:ascii="Book Antiqua" w:hAnsi="Book Antiqua"/>
        </w:rPr>
        <w:t>муниципальную программу «Обеспечение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Качинского муниципального округа»</w:t>
      </w:r>
    </w:p>
    <w:p>
      <w:pPr>
        <w:pStyle w:val="Normal"/>
        <w:shd w:val="clear" w:color="auto" w:fill="FFFFFF"/>
        <w:jc w:val="center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</w:r>
    </w:p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  <w:lang w:eastAsia="ar-SA"/>
        </w:rPr>
      </w:pPr>
      <w:r>
        <w:rPr>
          <w:rFonts w:ascii="Book Antiqua" w:hAnsi="Book Antiqua"/>
          <w:b/>
          <w:lang w:eastAsia="ar-SA"/>
        </w:rPr>
        <w:t>Плановые значения целевых показателей (индикаторов) Программы</w:t>
      </w:r>
    </w:p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5"/>
        <w:gridCol w:w="6189"/>
        <w:gridCol w:w="814"/>
        <w:gridCol w:w="801"/>
        <w:gridCol w:w="811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 </w:t>
            </w:r>
            <w:r>
              <w:rPr>
                <w:rFonts w:ascii="Book Antiqua" w:hAnsi="Book Antiqua"/>
                <w:b/>
              </w:rPr>
              <w:t>N </w:t>
              <w:br/>
              <w:t>п/п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2020 </w:t>
              <w:br/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2021 </w:t>
              <w:br/>
              <w:t>год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>2022 </w:t>
              <w:br/>
              <w:t>год</w:t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Количество проведенных мероприятий в год, ед.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Количество совершенных (попыток совершения) террористических актов и актов экстремистской направленности, ед.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Количество изготовленных и размещенных объектов наглядной агитации и социальной рекламы (плакатов, баннеров, стендов) в целях профилактики экстремизма и терроризма, ед.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Количество распространенных печатных материалов (листовок, брошюр, памяток), связанных с профилактикой терроризма, экстремизма, ликвидацией и минимизацией проявлений нетерпимости, шт.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</w:tr>
    </w:tbl>
    <w:p>
      <w:pPr>
        <w:pStyle w:val="Normal"/>
        <w:shd w:val="clear" w:color="auto" w:fill="FFFFFF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</w:rPr>
      </w:r>
      <w:r>
        <w:br w:type="page"/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ascii="Book Antiqua" w:hAnsi="Book Antiqua"/>
        </w:rPr>
        <w:t>Приложение 2</w:t>
      </w:r>
    </w:p>
    <w:p>
      <w:pPr>
        <w:pStyle w:val="Normal"/>
        <w:shd w:val="clear" w:color="auto" w:fill="FFFFFF"/>
        <w:ind w:left="5670" w:hanging="0"/>
        <w:rPr>
          <w:rFonts w:ascii="Book Antiqua" w:hAnsi="Book Antiqua"/>
        </w:rPr>
      </w:pPr>
      <w:r>
        <w:rPr>
          <w:rFonts w:cs="Arial" w:ascii="Book Antiqua" w:hAnsi="Book Antiqua"/>
        </w:rPr>
        <w:t>муниципальную программу «Обеспечение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Качинского муниципального округа»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Перечень основных мероприятий </w:t>
      </w:r>
      <w:r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tbl>
      <w:tblPr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686"/>
        <w:gridCol w:w="1561"/>
        <w:gridCol w:w="845"/>
        <w:gridCol w:w="6"/>
        <w:gridCol w:w="1410"/>
        <w:gridCol w:w="6"/>
        <w:gridCol w:w="702"/>
        <w:gridCol w:w="6"/>
        <w:gridCol w:w="704"/>
        <w:gridCol w:w="4"/>
        <w:gridCol w:w="705"/>
        <w:gridCol w:w="5"/>
        <w:gridCol w:w="714"/>
      </w:tblGrid>
      <w:tr>
        <w:trPr>
          <w:tblHeader w:val="true"/>
          <w:trHeight w:val="579" w:hRule="atLeast"/>
          <w:cantSplit w:val="true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N </w:t>
              <w:br/>
              <w:t>п/п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  <w:br/>
              <w:t>мероприятия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Ответствен-ный исполнитель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Источники </w:t>
              <w:br/>
              <w:t>финанси- </w:t>
              <w:br/>
              <w:t>рования</w:t>
            </w:r>
          </w:p>
        </w:tc>
        <w:tc>
          <w:tcPr>
            <w:tcW w:w="2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  <w:br/>
              <w:t>тыс. руб.</w:t>
            </w:r>
          </w:p>
        </w:tc>
      </w:tr>
      <w:tr>
        <w:trPr>
          <w:tblHeader w:val="true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Все-го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0"/>
                <w:szCs w:val="20"/>
              </w:rPr>
              <w:t>2021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0"/>
                <w:szCs w:val="20"/>
              </w:rPr>
              <w:t>2022</w:t>
            </w:r>
          </w:p>
        </w:tc>
      </w:tr>
      <w:tr>
        <w:trPr>
          <w:tblHeader w:val="true"/>
          <w:trHeight w:val="380" w:hRule="atLeast"/>
          <w:cantSplit w:val="tru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>
        <w:trPr>
          <w:trHeight w:val="922" w:hRule="atLeast"/>
          <w:cantSplit w:val="true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на рекламных конструкциях, приобретение, установка и обслуживание информационных стендов, в том числе разработка, приобретение и распространение тематической наглядно-агитационной продукции (плакатов, памяток, листовок, постеров) по разработанным макетам и по материалам правоохранительных органов, а также  приобретение и обслуживание информационных стендов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2020-2022 годы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134,9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134,9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>
        <w:trPr>
          <w:trHeight w:val="992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134,9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134,9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>
        <w:trPr>
          <w:trHeight w:val="606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Внебюджет-ные источники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1050" w:hRule="atLeast"/>
          <w:cantSplit w:val="true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2020-2022 годы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>
        <w:trPr>
          <w:trHeight w:val="1266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>
        <w:trPr>
          <w:trHeight w:val="606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Внебюджет-ные источники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274" w:hRule="atLeast"/>
          <w:cantSplit w:val="true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Приобретение, установка и обслуживание системы видеонаблюдения, системы охраны в местах с массовым пребыванием людей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2020-2022 годы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607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607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Внебюджет-ные источники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1066" w:hRule="atLeast"/>
          <w:cantSplit w:val="true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Организация и проведение занятий среди детей и в форме лекций, вечеров вопросов и ответов, конкурсов рисунков и  фестивалей с привлечением сотрудников МВД, МЧС России, медработников, психологов и т.д., приобретение оборудования для наглядности донесения материала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2020-2022 годы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1067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1067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Внебюджет-ные источники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>
        <w:trPr>
          <w:trHeight w:val="425" w:hRule="atLeast"/>
          <w:cantSplit w:val="true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Участие в организации операции "Гараж", "Подвал", "Чердак" с представителями ГУП «Север», Департаментом городского хозяйства города, участковыми отделов полиции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2020-2022 годы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425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425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Внебюджет-ные источники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425" w:hRule="atLeast"/>
          <w:cantSplit w:val="true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Организация и проведение массовых тематических профилактических мероприятий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2020-2022 годы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425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425" w:hRule="atLeast"/>
          <w:cantSplit w:val="true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Внебюджет-ные источники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>
        <w:trPr>
          <w:trHeight w:val="425" w:hRule="atLeast"/>
          <w:cantSplit w:val="true"/>
        </w:trPr>
        <w:tc>
          <w:tcPr>
            <w:tcW w:w="5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right="-108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134,9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20"/>
                <w:szCs w:val="20"/>
              </w:rPr>
              <w:t>134,9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>
      <w:pPr>
        <w:pStyle w:val="Normal"/>
        <w:shd w:val="clear" w:color="auto" w:fill="FFFFFF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99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99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main?base=RLAW186;n=32891;fld=134;dst=100257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148A-06B9-484E-9916-6111B66F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LibreOffice/6.3.1.2$Windows_x86 LibreOffice_project/b79626edf0065ac373bd1df5c28bd630b4424273</Application>
  <Pages>17</Pages>
  <Words>2929</Words>
  <Characters>22737</Characters>
  <CharactersWithSpaces>25497</CharactersWithSpaces>
  <Paragraphs>350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2016-11-24T10:44:00Z</dcterms:created>
  <dc:creator>User</dc:creator>
  <dc:description/>
  <dc:language>ru-RU</dc:language>
  <cp:lastModifiedBy/>
  <cp:lastPrinted>2019-06-25T17:09:59Z</cp:lastPrinted>
  <dcterms:modified xsi:type="dcterms:W3CDTF">2019-12-02T17:01:50Z</dcterms:modified>
  <cp:revision>62</cp:revision>
  <dc:subject/>
  <dc:title>Балаклавська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